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4828"/>
        <w:gridCol w:w="1520"/>
        <w:gridCol w:w="1093"/>
      </w:tblGrid>
      <w:tr w:rsidR="00AE271D" w14:paraId="4BC95DE4" w14:textId="77777777">
        <w:tc>
          <w:tcPr>
            <w:tcW w:w="1585" w:type="dxa"/>
            <w:vAlign w:val="center"/>
          </w:tcPr>
          <w:p w14:paraId="212D82A7" w14:textId="77777777" w:rsidR="00AE271D" w:rsidRDefault="00000000">
            <w:pPr>
              <w:pStyle w:val="TableContents"/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0" distR="0" simplePos="0" relativeHeight="4" behindDoc="0" locked="0" layoutInCell="1" allowOverlap="1" wp14:anchorId="253B90EB" wp14:editId="793359C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169545</wp:posOffset>
                  </wp:positionV>
                  <wp:extent cx="1126490" cy="805180"/>
                  <wp:effectExtent l="0" t="0" r="0" b="0"/>
                  <wp:wrapSquare wrapText="largest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7" w:type="dxa"/>
            <w:vAlign w:val="center"/>
          </w:tcPr>
          <w:p w14:paraId="69FA0899" w14:textId="77777777" w:rsidR="00AE271D" w:rsidRDefault="00000000">
            <w:pPr>
              <w:pStyle w:val="TableContents"/>
              <w:jc w:val="center"/>
              <w:rPr>
                <w:b/>
                <w:bCs/>
                <w:sz w:val="40"/>
                <w:szCs w:val="40"/>
                <w:lang w:val="el-GR"/>
              </w:rPr>
            </w:pPr>
            <w:r>
              <w:rPr>
                <w:b/>
                <w:bCs/>
                <w:sz w:val="40"/>
                <w:szCs w:val="40"/>
                <w:lang w:val="el-GR"/>
              </w:rPr>
              <w:t xml:space="preserve">11ο Πανελλήνιο Συνέδριο </w:t>
            </w:r>
            <w:proofErr w:type="spellStart"/>
            <w:r>
              <w:rPr>
                <w:b/>
                <w:bCs/>
                <w:sz w:val="40"/>
                <w:szCs w:val="40"/>
                <w:lang w:val="el-GR"/>
              </w:rPr>
              <w:t>Εν.Ε.Δι.Μ</w:t>
            </w:r>
            <w:proofErr w:type="spellEnd"/>
            <w:r>
              <w:rPr>
                <w:b/>
                <w:bCs/>
                <w:sz w:val="40"/>
                <w:szCs w:val="40"/>
                <w:lang w:val="el-GR"/>
              </w:rPr>
              <w:t>.</w:t>
            </w:r>
          </w:p>
          <w:p w14:paraId="3828D4D0" w14:textId="77777777" w:rsidR="00AE271D" w:rsidRDefault="00000000">
            <w:pPr>
              <w:widowControl w:val="0"/>
              <w:spacing w:beforeAutospacing="1"/>
              <w:jc w:val="center"/>
              <w:outlineLvl w:val="2"/>
              <w:rPr>
                <w:lang w:val="en-GB"/>
              </w:rPr>
            </w:pPr>
            <w:r>
              <w:rPr>
                <w:b/>
                <w:bCs/>
                <w:lang w:val="el-GR"/>
              </w:rPr>
              <w:t>Ηράκλειο Κρήτης, 27 – 29 Μαρτίου 2026</w:t>
            </w:r>
          </w:p>
        </w:tc>
        <w:tc>
          <w:tcPr>
            <w:tcW w:w="1520" w:type="dxa"/>
            <w:vAlign w:val="center"/>
          </w:tcPr>
          <w:p w14:paraId="1178F360" w14:textId="77777777" w:rsidR="00AE271D" w:rsidRDefault="00000000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42089318" wp14:editId="5DFFCB2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213995</wp:posOffset>
                  </wp:positionV>
                  <wp:extent cx="938530" cy="600075"/>
                  <wp:effectExtent l="0" t="0" r="0" b="0"/>
                  <wp:wrapSquare wrapText="largest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3" w:type="dxa"/>
            <w:vAlign w:val="center"/>
          </w:tcPr>
          <w:p w14:paraId="681D6C1C" w14:textId="77777777" w:rsidR="00AE271D" w:rsidRDefault="00000000">
            <w:pPr>
              <w:pStyle w:val="TableContents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39222D74" wp14:editId="6F36862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168910</wp:posOffset>
                  </wp:positionV>
                  <wp:extent cx="694055" cy="645160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23C701" w14:textId="77777777" w:rsidR="00AE271D" w:rsidRDefault="00AE271D">
      <w:pPr>
        <w:tabs>
          <w:tab w:val="left" w:pos="5880"/>
        </w:tabs>
        <w:jc w:val="center"/>
        <w:rPr>
          <w:rFonts w:cs="Garamond"/>
          <w:sz w:val="32"/>
          <w:szCs w:val="32"/>
        </w:rPr>
      </w:pPr>
    </w:p>
    <w:p w14:paraId="0296164F" w14:textId="77777777" w:rsidR="00AE271D" w:rsidRDefault="00000000">
      <w:pPr>
        <w:tabs>
          <w:tab w:val="left" w:pos="5880"/>
        </w:tabs>
        <w:jc w:val="center"/>
        <w:rPr>
          <w:b/>
          <w:bCs/>
          <w:lang w:val="el-GR"/>
        </w:rPr>
      </w:pPr>
      <w:r>
        <w:rPr>
          <w:rFonts w:cs="Garamond"/>
          <w:b/>
          <w:bCs/>
          <w:sz w:val="32"/>
          <w:szCs w:val="32"/>
          <w:lang w:val="el-GR"/>
        </w:rPr>
        <w:t>ΕΝΤΥΠΟ ΥΠΟΒΟΛΗΣ</w:t>
      </w:r>
    </w:p>
    <w:p w14:paraId="52E276DE" w14:textId="77777777" w:rsidR="00AE271D" w:rsidRDefault="00AE271D">
      <w:pPr>
        <w:tabs>
          <w:tab w:val="left" w:pos="5880"/>
        </w:tabs>
        <w:jc w:val="both"/>
        <w:rPr>
          <w:rFonts w:cs="Garamond"/>
          <w:b/>
          <w:bCs/>
          <w:sz w:val="32"/>
          <w:szCs w:val="32"/>
          <w:lang w:val="el-GR"/>
        </w:rPr>
      </w:pPr>
    </w:p>
    <w:tbl>
      <w:tblPr>
        <w:tblpPr w:leftFromText="180" w:rightFromText="180" w:vertAnchor="text" w:tblpY="1"/>
        <w:tblW w:w="8856" w:type="dxa"/>
        <w:tblLayout w:type="fixed"/>
        <w:tblLook w:val="04A0" w:firstRow="1" w:lastRow="0" w:firstColumn="1" w:lastColumn="0" w:noHBand="0" w:noVBand="1"/>
      </w:tblPr>
      <w:tblGrid>
        <w:gridCol w:w="3708"/>
        <w:gridCol w:w="2700"/>
        <w:gridCol w:w="2448"/>
      </w:tblGrid>
      <w:tr w:rsidR="00AE271D" w14:paraId="077E3CA3" w14:textId="77777777">
        <w:trPr>
          <w:trHeight w:val="85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F5E5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 xml:space="preserve">ΟΝΟΜΑΤΕΠΩΝΥΜΟ </w:t>
            </w:r>
          </w:p>
          <w:p w14:paraId="21443B78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ΠΡΩΤΗΣ ή ΠΡΩΤΟΥ ΣΥΓΓΡΑΦΕΑ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25F0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</w:tc>
      </w:tr>
      <w:tr w:rsidR="00AE271D" w14:paraId="71886F23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E188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ΔΙΕΥΘΥΝΣΗ ΕΡΓΑΣΙΑΣ / ΟΙΚΙΑΣ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C73E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</w:tc>
      </w:tr>
      <w:tr w:rsidR="00AE271D" w14:paraId="409CFFAE" w14:textId="77777777">
        <w:trPr>
          <w:trHeight w:val="44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74D9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ΤΗΛΕΦΩΝΟ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84C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</w:tc>
      </w:tr>
      <w:tr w:rsidR="00AE271D" w14:paraId="29550F3C" w14:textId="77777777">
        <w:trPr>
          <w:trHeight w:val="455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8868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</w:rPr>
            </w:pPr>
            <w:r>
              <w:rPr>
                <w:rFonts w:cs="Garamond"/>
                <w:b/>
                <w:bCs/>
              </w:rPr>
              <w:t>E-mail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E196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</w:tc>
      </w:tr>
      <w:tr w:rsidR="00AE271D" w14:paraId="18FF3CFA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3F2C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lang w:val="el-GR"/>
              </w:rPr>
            </w:pPr>
          </w:p>
          <w:p w14:paraId="1F2254AD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ΟΝΟΜΑΤΕΠΩΝΥΜΑ ΑΛΛΩΝ ΣΥΓΓΡΑΦΕΩΝ</w:t>
            </w:r>
          </w:p>
          <w:p w14:paraId="03173496" w14:textId="77777777" w:rsidR="00AE271D" w:rsidRDefault="00AE271D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9C3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  <w:p w14:paraId="0B6E1B52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  <w:p w14:paraId="1A1ADC3A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  <w:p w14:paraId="137F62D5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</w:tc>
      </w:tr>
      <w:tr w:rsidR="00AE271D" w14:paraId="4A499324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141F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lang w:val="el-GR"/>
              </w:rPr>
            </w:pPr>
          </w:p>
          <w:p w14:paraId="46B79FCF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ΤΙΤΛΟΣ ΕΡΓΑΣΙΑΣ</w:t>
            </w:r>
          </w:p>
          <w:p w14:paraId="0D7AAB08" w14:textId="77777777" w:rsidR="00AE271D" w:rsidRDefault="00AE271D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1BC9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  <w:p w14:paraId="3D36CB9B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  <w:p w14:paraId="7A2DCE20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</w:tc>
      </w:tr>
      <w:tr w:rsidR="00AE271D" w14:paraId="5B3524BB" w14:textId="77777777">
        <w:trPr>
          <w:trHeight w:val="454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AD1D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ΕΙΔΟΣ ΕΡΓΑΣΙΑΣ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EDA0" w14:textId="77777777" w:rsidR="00AE271D" w:rsidRDefault="00000000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ΕΡΕΥΝΗΤΙΚΗ ΕΡΓΑΣΙΑ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6E5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6028FEAB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3DA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A479" w14:textId="77777777" w:rsidR="00AE271D" w:rsidRDefault="00000000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ΟΜΑΔΑ ΑΝΤΑΛΛΑΓΩΝ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8B3B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4C33F3B8" w14:textId="77777777">
        <w:trPr>
          <w:trHeight w:val="454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D4B8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4E36" w14:textId="77777777" w:rsidR="00AE271D" w:rsidRDefault="00000000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ΚΑΙΝΟΤΟΜΑ ΔΙΔΑΚΤΙΚΗ ΠΡΟΤΑΣΗ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76BC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7B56FEEF" w14:textId="77777777">
        <w:trPr>
          <w:trHeight w:val="454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991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6C7B" w14:textId="77777777" w:rsidR="00AE271D" w:rsidRDefault="00000000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sz w:val="22"/>
                <w:szCs w:val="22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ΕΡΕΥΝΗΤΙΚΟ ΠΡΟΓΡΑΜΜΑ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9C5A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6066F19D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9A6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D4D6" w14:textId="77777777" w:rsidR="00AE271D" w:rsidRDefault="00000000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ΑΝΑΡΤΗΜΕΝΗ ΕΡΓΑΣΙΑ (POSTER)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0649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71A7EC98" w14:textId="77777777">
        <w:trPr>
          <w:trHeight w:val="454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FEBB" w14:textId="77777777" w:rsidR="00AE271D" w:rsidRDefault="00000000">
            <w:pPr>
              <w:widowControl w:val="0"/>
              <w:tabs>
                <w:tab w:val="left" w:pos="5880"/>
              </w:tabs>
            </w:pPr>
            <w:r>
              <w:rPr>
                <w:rFonts w:cs="Garamond"/>
                <w:b/>
                <w:bCs/>
                <w:lang w:val="el-GR"/>
              </w:rPr>
              <w:t>ΘΕΜΑΤΙΚΟΣ ΑΞΟΝΑΣ ΣΤΟΝ ΟΠΟΙΟ ΕΝΤΑΣΣΕΤΑΙ</w:t>
            </w:r>
          </w:p>
          <w:p w14:paraId="5FEC3EF2" w14:textId="77777777" w:rsidR="00AE271D" w:rsidRDefault="00000000">
            <w:pPr>
              <w:widowControl w:val="0"/>
              <w:tabs>
                <w:tab w:val="left" w:pos="5880"/>
              </w:tabs>
            </w:pPr>
            <w:r>
              <w:rPr>
                <w:rFonts w:cs="Garamond"/>
                <w:b/>
                <w:bCs/>
                <w:lang w:val="el-GR"/>
              </w:rPr>
              <w:t>(συμπληρώστε έναν μόνο θεματικό άξονα, δείτε Σημείωση 2)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327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E99" w14:textId="77777777" w:rsidR="00AE271D" w:rsidRDefault="00AE271D">
            <w:pPr>
              <w:widowControl w:val="0"/>
              <w:snapToGrid w:val="0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23D0C0B4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B54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25F4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AC59" w14:textId="77777777" w:rsidR="00AE271D" w:rsidRDefault="00000000">
            <w:pPr>
              <w:widowControl w:val="0"/>
              <w:rPr>
                <w:rFonts w:eastAsia="Garamond" w:cs="Garamond"/>
                <w:sz w:val="22"/>
                <w:szCs w:val="22"/>
                <w:lang w:val="el-GR"/>
              </w:rPr>
            </w:pPr>
            <w:r>
              <w:rPr>
                <w:rFonts w:eastAsia="Garamond" w:cs="Garamond"/>
                <w:sz w:val="22"/>
                <w:szCs w:val="22"/>
                <w:lang w:val="el-GR"/>
              </w:rPr>
              <w:t xml:space="preserve"> </w:t>
            </w:r>
          </w:p>
        </w:tc>
      </w:tr>
      <w:tr w:rsidR="00AE271D" w14:paraId="269D15BA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239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8D76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 xml:space="preserve">ΘΑ3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D005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484900A6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61A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42DC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606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23F00B23" w14:textId="77777777">
        <w:trPr>
          <w:trHeight w:val="454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AA2F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AAA9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EA37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1D7FCD2" w14:textId="77777777">
        <w:trPr>
          <w:trHeight w:val="454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F84F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CA30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ΘΑ6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64F6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EB6411E" w14:textId="77777777">
        <w:trPr>
          <w:trHeight w:val="454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DAC1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0F7B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ΘΑ7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4B3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3E6B7FDA" w14:textId="77777777">
        <w:trPr>
          <w:trHeight w:val="63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131D" w14:textId="77777777" w:rsidR="00AE271D" w:rsidRDefault="00000000">
            <w:pPr>
              <w:widowControl w:val="0"/>
              <w:tabs>
                <w:tab w:val="left" w:pos="5880"/>
              </w:tabs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ΗΜΕΡΟΜΗΝΙΑ ΥΠΟΒΟΛΗΣ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2A2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jc w:val="both"/>
              <w:rPr>
                <w:rFonts w:cs="Garamond"/>
                <w:b/>
                <w:bCs/>
                <w:lang w:val="el-GR"/>
              </w:rPr>
            </w:pPr>
          </w:p>
          <w:p w14:paraId="76232C68" w14:textId="77777777" w:rsidR="00AE271D" w:rsidRDefault="00AE271D">
            <w:pPr>
              <w:widowControl w:val="0"/>
              <w:tabs>
                <w:tab w:val="left" w:pos="5880"/>
              </w:tabs>
              <w:jc w:val="both"/>
              <w:rPr>
                <w:rFonts w:cs="Garamond"/>
                <w:lang w:val="el-GR"/>
              </w:rPr>
            </w:pPr>
          </w:p>
        </w:tc>
      </w:tr>
    </w:tbl>
    <w:p w14:paraId="3D14A197" w14:textId="77777777" w:rsidR="00AE271D" w:rsidRDefault="00AE271D">
      <w:pPr>
        <w:spacing w:line="240" w:lineRule="exact"/>
        <w:jc w:val="both"/>
        <w:rPr>
          <w:rFonts w:cs="Garamond"/>
          <w:b/>
          <w:bCs/>
          <w:sz w:val="18"/>
          <w:szCs w:val="18"/>
          <w:lang w:val="en-GB"/>
        </w:rPr>
      </w:pPr>
    </w:p>
    <w:tbl>
      <w:tblPr>
        <w:tblpPr w:leftFromText="180" w:rightFromText="180" w:vertAnchor="text" w:tblpY="1"/>
        <w:tblW w:w="8856" w:type="dxa"/>
        <w:tblLayout w:type="fixed"/>
        <w:tblLook w:val="04A0" w:firstRow="1" w:lastRow="0" w:firstColumn="1" w:lastColumn="0" w:noHBand="0" w:noVBand="1"/>
      </w:tblPr>
      <w:tblGrid>
        <w:gridCol w:w="4103"/>
        <w:gridCol w:w="2305"/>
        <w:gridCol w:w="2448"/>
      </w:tblGrid>
      <w:tr w:rsidR="00AE271D" w14:paraId="41A5A775" w14:textId="77777777">
        <w:trPr>
          <w:trHeight w:val="454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FE10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lang w:val="el-GR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8E59" w14:textId="77777777" w:rsidR="00AE271D" w:rsidRDefault="00000000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  <w:r>
              <w:rPr>
                <w:rFonts w:cs="Garamond"/>
                <w:b/>
                <w:bCs/>
                <w:lang w:val="el-GR"/>
              </w:rPr>
              <w:t>ΛΕΞΕΙΣ ΚΛΕΙΔΙΑ ΕΡΓΑΣΙΑΣ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A56" w14:textId="77777777" w:rsidR="00AE271D" w:rsidRDefault="00000000">
            <w:pPr>
              <w:widowControl w:val="0"/>
              <w:snapToGrid w:val="0"/>
              <w:ind w:left="67"/>
              <w:jc w:val="center"/>
              <w:rPr>
                <w:rFonts w:cs="Garamond"/>
                <w:sz w:val="16"/>
                <w:szCs w:val="16"/>
                <w:lang w:val="el-GR"/>
              </w:rPr>
            </w:pPr>
            <w:r>
              <w:rPr>
                <w:rFonts w:cs="Garamond"/>
                <w:b/>
                <w:bCs/>
                <w:sz w:val="22"/>
                <w:szCs w:val="22"/>
                <w:lang w:val="el-GR"/>
              </w:rPr>
              <w:t>ΛΕΞΕΙΣ ΚΛΕΙΔΙΑ ΕΝΔΙΑΦΕΡΟΝΤΩΝ ΣΥΓΓΡΑΦΕΑ</w:t>
            </w:r>
            <w:r>
              <w:rPr>
                <w:rFonts w:cs="Garamond"/>
                <w:b/>
                <w:bCs/>
                <w:sz w:val="16"/>
                <w:szCs w:val="16"/>
                <w:lang w:val="el-GR"/>
              </w:rPr>
              <w:t xml:space="preserve"> </w:t>
            </w:r>
          </w:p>
          <w:p w14:paraId="7164C34F" w14:textId="77777777" w:rsidR="00AE271D" w:rsidRDefault="00000000">
            <w:pPr>
              <w:widowControl w:val="0"/>
              <w:snapToGrid w:val="0"/>
              <w:ind w:left="67"/>
              <w:jc w:val="center"/>
              <w:rPr>
                <w:rFonts w:cs="Garamond"/>
                <w:sz w:val="16"/>
                <w:szCs w:val="16"/>
                <w:lang w:val="el-GR"/>
              </w:rPr>
            </w:pPr>
            <w:r>
              <w:rPr>
                <w:rFonts w:cs="Garamond"/>
                <w:b/>
                <w:bCs/>
                <w:sz w:val="16"/>
                <w:szCs w:val="16"/>
                <w:lang w:val="el-GR"/>
              </w:rPr>
              <w:t xml:space="preserve">(για </w:t>
            </w:r>
            <w:proofErr w:type="spellStart"/>
            <w:r>
              <w:rPr>
                <w:rFonts w:cs="Garamond"/>
                <w:b/>
                <w:bCs/>
                <w:sz w:val="16"/>
                <w:szCs w:val="16"/>
                <w:lang w:val="el-GR"/>
              </w:rPr>
              <w:t>αντιστοίχηση</w:t>
            </w:r>
            <w:proofErr w:type="spellEnd"/>
            <w:r>
              <w:rPr>
                <w:rFonts w:cs="Garamond"/>
                <w:b/>
                <w:bCs/>
                <w:sz w:val="16"/>
                <w:szCs w:val="16"/>
                <w:lang w:val="el-GR"/>
              </w:rPr>
              <w:t xml:space="preserve"> κριτών)</w:t>
            </w:r>
          </w:p>
        </w:tc>
      </w:tr>
      <w:tr w:rsidR="00AE271D" w14:paraId="5DBBF546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13CA" w14:textId="77777777" w:rsidR="00AE271D" w:rsidRDefault="00AE271D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lang w:val="el-GR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EF84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191" w14:textId="77777777" w:rsidR="00AE271D" w:rsidRDefault="00000000">
            <w:pPr>
              <w:widowControl w:val="0"/>
              <w:snapToGrid w:val="0"/>
              <w:ind w:left="67"/>
              <w:rPr>
                <w:rFonts w:cs="Garamond"/>
                <w:sz w:val="20"/>
                <w:szCs w:val="20"/>
                <w:lang w:val="el-GR"/>
              </w:rPr>
            </w:pPr>
            <w:r>
              <w:rPr>
                <w:rFonts w:cs="Garamond"/>
                <w:sz w:val="16"/>
                <w:szCs w:val="16"/>
                <w:lang w:val="el-GR"/>
              </w:rPr>
              <w:t>Επώνυμο:</w:t>
            </w:r>
            <w:r>
              <w:rPr>
                <w:rFonts w:cs="Garamond"/>
                <w:sz w:val="20"/>
                <w:szCs w:val="20"/>
                <w:lang w:val="el-GR"/>
              </w:rPr>
              <w:t xml:space="preserve"> </w:t>
            </w:r>
          </w:p>
          <w:p w14:paraId="03332FC3" w14:textId="77777777" w:rsidR="00AE271D" w:rsidRDefault="00000000">
            <w:pPr>
              <w:widowControl w:val="0"/>
              <w:snapToGrid w:val="0"/>
              <w:ind w:left="67"/>
              <w:rPr>
                <w:rFonts w:cs="Garamond"/>
                <w:sz w:val="20"/>
                <w:szCs w:val="20"/>
                <w:lang w:val="el-GR"/>
              </w:rPr>
            </w:pPr>
            <w:r>
              <w:rPr>
                <w:rFonts w:cs="Garamond"/>
                <w:sz w:val="20"/>
                <w:szCs w:val="20"/>
                <w:lang w:val="el-GR"/>
              </w:rPr>
              <w:t>…………………………..</w:t>
            </w:r>
          </w:p>
        </w:tc>
      </w:tr>
      <w:tr w:rsidR="00AE271D" w14:paraId="3B6997D1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696F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ΑΛΓΕΒΡΙΚΗ ΣΚΕΨΗ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7A21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D50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6C1DD4DF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F7C7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ΑΝΑΠΑΡΑΣΤΑΣΕΙΣ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78BD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D6A2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39E888E8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6EEA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ΑΝΑΠΤΥΞΗ ΔΡΑΣΤΗΡΙΟΤΗΤΩΝ ΚΑΙ ΕΚΠΑΙΔΕΥΤΙΚΟΥ ΥΛΙΚΟΥ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E33E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B25D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0F5B5153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EE25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ΑΞΙΟΛΟΓΗΣΗ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CE52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E133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F89178E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90EE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ΑΡΙΘΜΗΤΙΚΗ, ΑΡΙΘΜΟΙ ΚΑΙ ΠΡΑΞΕΙΣ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1A5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FDA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78836D4D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869E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ΓΝΩΣΗ  ΓΙΑ ΤΗ ΔΙΔΑΣΚΑΛΙΑ ΤΩΝ ΜΑΘΗΜΑΤΙΚΩΝ ΚΑΙ ΤΑΥΤΟΤΗΤΑ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21AE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F895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5C74CC7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28DE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ΔΙΔΑΚΤΙΚΗ ΑΠΕΙΡΟΣΤΙΚΟΥ ΛΟΓΙΣΜΟΥ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BD45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3C4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48730968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61AE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ΔΙΔΑΚΤΙΚΗ ΓΕΩΜΕΤΡΙΑΣ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45ED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649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44E6FB5C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C14A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ΔΙΔΑΚΤΙΚΗ ΠΑΝΕΠΙΣΤΗΜΙΑΚΩΝ ΜΑΘΗΜΑΤΙΚΩΝ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D394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83E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4F380792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209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ΔΙΔΑΚΤΙΚΗ ΠΡΟΣΧΟΛΙΚΗΣ ΗΛΙΚΙΑΣ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91DD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A905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244EAC4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5550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ΔΙΔΑΚΤΙΚΗ ΣΤΑΤΙΣΤΙΚΗΣ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BFC4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D02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394F1E6E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308E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ΔΙΔΑΚΤΙΚΕΣ ΠΡΑΚΤΙΚΕΣ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78C6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ED2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14B5D914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2805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ΔΙΔΑΣΚΑΛΙΑ ΚΑΙ ΜΑΘΗΣΗ ΜΑΘΗΜΑΤΙΚΩΝ ΜΕ ΤΕΧΝΟΛΟΓΙΕΣ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1B4A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A6B2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2E3A0486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82A6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ΕΠΑΓΓΕΛΜΑΤΙΚΗ ΑΝΑΠΤΥΞΗ ΚΑΙ ΕΚΠΑΙΔΕΥΣΗ ΕΚΠΑΙΔΕΥΤΙΚΩΝ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DE7E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467D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2DAE1A3A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DBA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ΕΠΙΚΟΙΝΩΝΙΑ ΚΑΙ ΛΟΓΟΣ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6243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F4C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68DEA8CB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E10A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ΕΠΙΧΕΙΡΗΜΑΤΟΛΟΓΙΑ ΚΑΙ ΑΠΟΔΕΙΞΗ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F86C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57D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1C5A63A5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7286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ΘΕΩΡΗΤΙΚΕΣ ΟΠΤΙΚΕΣ ΚΑΙ ΠΡΟΣΕΓΓΙΣΕΙΣ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6567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1BE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142F868B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80D0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ΙΣΤΟΡΙΑ ΤΩΝ ΜΑΘΗΜΑΤΙΚΩΝ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9D87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2873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1CDE50EA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2FE6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ΜΑΘΗΜΑΤΙΚΑ ΓΙΑ ΤΗ ΔΟΥΛΕΙΑ, ΤΗΝ ΚΟΙΝΩΝΙΑ ΚΑΙ ΔΙΑ ΒΙΟΥ ΜΑΘΗΣΗ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8D9A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414F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3389FDF8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D2FD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 xml:space="preserve">ΜΑΘΗΜΑΤΙΚΑ ΣΤΟ ΠΛΑΙΣΙΟ ΤΗΣ ΔΙΔΑΚΤΙΚΗΣ ΤΩΝ </w:t>
            </w:r>
            <w:r>
              <w:rPr>
                <w:rFonts w:cs="Garamond"/>
                <w:sz w:val="22"/>
                <w:szCs w:val="22"/>
                <w:lang w:val="en-GB"/>
              </w:rPr>
              <w:t>STEM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ED4F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A86C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1A945D31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D88D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ΜΟΝΤΕΛΟΠΟΙΗΣΗ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81AB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8544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4FA7A4C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F253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ΣΥΜΠΕΡΙΛΗΨΗ ΚΑΙ ΙΣΟΤΗΤΑ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259B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81C8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1555AD4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88A2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ΣΥΝΑΙΣΘΗΜΑ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8339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96A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  <w:tr w:rsidR="00AE271D" w14:paraId="502A6641" w14:textId="77777777">
        <w:trPr>
          <w:trHeight w:val="454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041" w14:textId="77777777" w:rsidR="00AE271D" w:rsidRDefault="00000000">
            <w:pPr>
              <w:widowControl w:val="0"/>
              <w:tabs>
                <w:tab w:val="left" w:pos="5880"/>
              </w:tabs>
              <w:snapToGrid w:val="0"/>
              <w:rPr>
                <w:rFonts w:cs="Garamond"/>
                <w:b/>
                <w:bCs/>
                <w:sz w:val="22"/>
                <w:szCs w:val="22"/>
                <w:lang w:val="el-GR"/>
              </w:rPr>
            </w:pPr>
            <w:r>
              <w:rPr>
                <w:rFonts w:cs="Garamond"/>
                <w:sz w:val="22"/>
                <w:szCs w:val="22"/>
                <w:lang w:val="el-GR"/>
              </w:rPr>
              <w:t>ΑΛΛΟ: ……………………………….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B444" w14:textId="77777777" w:rsidR="00AE271D" w:rsidRDefault="00AE271D">
            <w:pPr>
              <w:widowControl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68B2" w14:textId="77777777" w:rsidR="00AE271D" w:rsidRDefault="00AE271D">
            <w:pPr>
              <w:widowControl w:val="0"/>
              <w:snapToGrid w:val="0"/>
              <w:ind w:left="67"/>
              <w:jc w:val="center"/>
              <w:rPr>
                <w:rFonts w:cs="Garamond"/>
                <w:sz w:val="22"/>
                <w:szCs w:val="22"/>
                <w:lang w:val="el-GR"/>
              </w:rPr>
            </w:pPr>
          </w:p>
        </w:tc>
      </w:tr>
    </w:tbl>
    <w:p w14:paraId="05A1B38B" w14:textId="77777777" w:rsidR="00AE271D" w:rsidRDefault="00AE271D">
      <w:pPr>
        <w:spacing w:line="240" w:lineRule="exact"/>
        <w:jc w:val="both"/>
        <w:rPr>
          <w:rFonts w:cs="Garamond"/>
          <w:b/>
          <w:bCs/>
          <w:sz w:val="18"/>
          <w:szCs w:val="18"/>
        </w:rPr>
      </w:pPr>
    </w:p>
    <w:p w14:paraId="27718C80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lastRenderedPageBreak/>
        <w:br/>
        <w:t xml:space="preserve">Σημείωση1: </w:t>
      </w:r>
      <w:r>
        <w:rPr>
          <w:rFonts w:cs="Garamond"/>
          <w:bCs/>
          <w:sz w:val="18"/>
          <w:szCs w:val="18"/>
          <w:lang w:val="el-GR"/>
        </w:rPr>
        <w:t xml:space="preserve">Τοποθετήστε </w:t>
      </w:r>
      <w:r>
        <w:rPr>
          <w:rFonts w:cs="Garamond"/>
          <w:bCs/>
          <w:sz w:val="18"/>
          <w:szCs w:val="18"/>
        </w:rPr>
        <w:t>X</w:t>
      </w:r>
      <w:r>
        <w:rPr>
          <w:rFonts w:cs="Garamond"/>
          <w:bCs/>
          <w:sz w:val="18"/>
          <w:szCs w:val="18"/>
          <w:lang w:val="el-GR"/>
        </w:rPr>
        <w:t xml:space="preserve"> στο κουτάκι δίπλα από την επιλογή σας</w:t>
      </w:r>
    </w:p>
    <w:p w14:paraId="4A27DC65" w14:textId="133355DB" w:rsidR="00AE271D" w:rsidRPr="00AB31D6" w:rsidRDefault="00000000" w:rsidP="003D2674">
      <w:pPr>
        <w:rPr>
          <w:sz w:val="18"/>
          <w:szCs w:val="18"/>
        </w:rPr>
      </w:pPr>
      <w:r w:rsidRPr="00AB31D6">
        <w:rPr>
          <w:rFonts w:cs="Garamond"/>
          <w:b/>
          <w:bCs/>
          <w:sz w:val="18"/>
          <w:szCs w:val="18"/>
          <w:lang w:val="el-GR"/>
        </w:rPr>
        <w:t xml:space="preserve">Σημείωση 2: </w:t>
      </w:r>
      <w:r w:rsidRPr="00AB31D6">
        <w:rPr>
          <w:rFonts w:cs="Garamond"/>
          <w:bCs/>
          <w:sz w:val="18"/>
          <w:szCs w:val="18"/>
          <w:lang w:val="el-GR"/>
        </w:rPr>
        <w:t>Οι θεματικοί άξονες έχουν ως εξής</w:t>
      </w:r>
      <w:r w:rsidR="003D2674" w:rsidRPr="00AB31D6">
        <w:rPr>
          <w:rFonts w:cs="Garamond"/>
          <w:bCs/>
          <w:sz w:val="18"/>
          <w:szCs w:val="18"/>
          <w:lang w:val="el-GR"/>
        </w:rPr>
        <w:t>, (α</w:t>
      </w:r>
      <w:r w:rsidR="003D2674" w:rsidRPr="00AB31D6">
        <w:rPr>
          <w:sz w:val="18"/>
          <w:szCs w:val="18"/>
          <w:lang w:val="el-GR"/>
        </w:rPr>
        <w:t>ναλυτικ</w:t>
      </w:r>
      <w:r w:rsidR="003D2674" w:rsidRPr="00AB31D6">
        <w:rPr>
          <w:sz w:val="18"/>
          <w:szCs w:val="18"/>
          <w:lang w:val="el-GR"/>
        </w:rPr>
        <w:t>ή περιγραφή των</w:t>
      </w:r>
      <w:r w:rsidR="003D2674" w:rsidRPr="00AB31D6">
        <w:rPr>
          <w:sz w:val="18"/>
          <w:szCs w:val="18"/>
          <w:lang w:val="el-GR"/>
        </w:rPr>
        <w:t xml:space="preserve"> θεματικ</w:t>
      </w:r>
      <w:r w:rsidR="003D2674" w:rsidRPr="00AB31D6">
        <w:rPr>
          <w:sz w:val="18"/>
          <w:szCs w:val="18"/>
          <w:lang w:val="el-GR"/>
        </w:rPr>
        <w:t>ών</w:t>
      </w:r>
      <w:r w:rsidR="003D2674" w:rsidRPr="00AB31D6">
        <w:rPr>
          <w:sz w:val="18"/>
          <w:szCs w:val="18"/>
          <w:lang w:val="el-GR"/>
        </w:rPr>
        <w:t xml:space="preserve"> </w:t>
      </w:r>
      <w:r w:rsidR="003D2674" w:rsidRPr="00AB31D6">
        <w:rPr>
          <w:sz w:val="18"/>
          <w:szCs w:val="18"/>
          <w:lang w:val="el-GR"/>
        </w:rPr>
        <w:t>α</w:t>
      </w:r>
      <w:r w:rsidR="003D2674" w:rsidRPr="00AB31D6">
        <w:rPr>
          <w:sz w:val="18"/>
          <w:szCs w:val="18"/>
          <w:lang w:val="el-GR"/>
        </w:rPr>
        <w:t>ξ</w:t>
      </w:r>
      <w:r w:rsidR="003D2674" w:rsidRPr="00AB31D6">
        <w:rPr>
          <w:sz w:val="18"/>
          <w:szCs w:val="18"/>
          <w:lang w:val="el-GR"/>
        </w:rPr>
        <w:t>ό</w:t>
      </w:r>
      <w:r w:rsidR="003D2674" w:rsidRPr="00AB31D6">
        <w:rPr>
          <w:sz w:val="18"/>
          <w:szCs w:val="18"/>
          <w:lang w:val="el-GR"/>
        </w:rPr>
        <w:t>ν</w:t>
      </w:r>
      <w:r w:rsidR="003D2674" w:rsidRPr="00AB31D6">
        <w:rPr>
          <w:sz w:val="18"/>
          <w:szCs w:val="18"/>
          <w:lang w:val="el-GR"/>
        </w:rPr>
        <w:t>ων</w:t>
      </w:r>
      <w:r w:rsidR="003D2674" w:rsidRPr="00AB31D6">
        <w:rPr>
          <w:sz w:val="18"/>
          <w:szCs w:val="18"/>
          <w:lang w:val="el-GR"/>
        </w:rPr>
        <w:t xml:space="preserve"> βρίσκ</w:t>
      </w:r>
      <w:r w:rsidR="003D2674" w:rsidRPr="00AB31D6">
        <w:rPr>
          <w:sz w:val="18"/>
          <w:szCs w:val="18"/>
          <w:lang w:val="el-GR"/>
        </w:rPr>
        <w:t>ε</w:t>
      </w:r>
      <w:r w:rsidR="003D2674" w:rsidRPr="00AB31D6">
        <w:rPr>
          <w:sz w:val="18"/>
          <w:szCs w:val="18"/>
          <w:lang w:val="el-GR"/>
        </w:rPr>
        <w:t xml:space="preserve">ται </w:t>
      </w:r>
      <w:hyperlink r:id="rId7" w:history="1">
        <w:r w:rsidR="003D2674" w:rsidRPr="00AB31D6">
          <w:rPr>
            <w:rStyle w:val="Hyperlink"/>
            <w:sz w:val="18"/>
            <w:szCs w:val="18"/>
            <w:lang w:val="el-GR"/>
          </w:rPr>
          <w:t>εδ</w:t>
        </w:r>
        <w:r w:rsidR="003D2674" w:rsidRPr="00AB31D6">
          <w:rPr>
            <w:rStyle w:val="Hyperlink"/>
            <w:sz w:val="18"/>
            <w:szCs w:val="18"/>
            <w:lang w:val="el-GR"/>
          </w:rPr>
          <w:t>ώ</w:t>
        </w:r>
      </w:hyperlink>
      <w:r w:rsidR="003D2674" w:rsidRPr="00AB31D6">
        <w:rPr>
          <w:sz w:val="18"/>
          <w:szCs w:val="18"/>
          <w:lang w:val="el-GR"/>
        </w:rPr>
        <w:t>):</w:t>
      </w:r>
    </w:p>
    <w:p w14:paraId="763EFCFC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ΘΑ1:</w:t>
      </w:r>
      <w:r>
        <w:rPr>
          <w:rFonts w:cs="Garamond"/>
          <w:sz w:val="18"/>
          <w:szCs w:val="18"/>
          <w:lang w:val="el-GR"/>
        </w:rPr>
        <w:t xml:space="preserve"> </w:t>
      </w:r>
      <w:proofErr w:type="spellStart"/>
      <w:r>
        <w:rPr>
          <w:rFonts w:cs="Garamond"/>
          <w:sz w:val="18"/>
          <w:szCs w:val="18"/>
          <w:lang w:val="el-GR"/>
        </w:rPr>
        <w:t>Κοινωνικο</w:t>
      </w:r>
      <w:proofErr w:type="spellEnd"/>
      <w:r>
        <w:rPr>
          <w:rFonts w:cs="Garamond"/>
          <w:sz w:val="18"/>
          <w:szCs w:val="18"/>
          <w:lang w:val="el-GR"/>
        </w:rPr>
        <w:t>-πολιτισμικές, ιστορικές, θεσμικές και πολιτικές παράμετροι της διδασκαλίας και της μάθησης των μαθηματικών</w:t>
      </w:r>
    </w:p>
    <w:p w14:paraId="697C37C5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ΘΑ2:</w:t>
      </w:r>
      <w:r>
        <w:rPr>
          <w:rFonts w:cs="Garamond"/>
          <w:sz w:val="18"/>
          <w:szCs w:val="18"/>
          <w:lang w:val="el-GR"/>
        </w:rPr>
        <w:t xml:space="preserve"> Γνωστικές παράμετροι της διδασκαλίας και της μάθησης των μαθηματικών</w:t>
      </w:r>
    </w:p>
    <w:p w14:paraId="5D7473E1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ΘΑ3:</w:t>
      </w:r>
      <w:r>
        <w:rPr>
          <w:rFonts w:cs="Garamond"/>
          <w:sz w:val="18"/>
          <w:szCs w:val="18"/>
          <w:lang w:val="el-GR"/>
        </w:rPr>
        <w:t xml:space="preserve"> Η κριτική σκέψη ως δεξιότητα στον 21ο αιώνα και ο ρόλος των μαθηματικών</w:t>
      </w:r>
    </w:p>
    <w:p w14:paraId="578E6D7B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ΘΑ4:</w:t>
      </w:r>
      <w:r>
        <w:rPr>
          <w:rFonts w:cs="Garamond"/>
          <w:sz w:val="18"/>
          <w:szCs w:val="18"/>
          <w:lang w:val="el-GR"/>
        </w:rPr>
        <w:t xml:space="preserve"> Ψηφιακές τεχνολογίες και μαθηματική εκπαίδευση στον 21ο αιώνα</w:t>
      </w:r>
    </w:p>
    <w:p w14:paraId="0E0AF35C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ΘΑ5</w:t>
      </w:r>
      <w:r>
        <w:rPr>
          <w:rFonts w:cs="Garamond"/>
          <w:sz w:val="18"/>
          <w:szCs w:val="18"/>
          <w:lang w:val="el-GR"/>
        </w:rPr>
        <w:t>: Η μαθηματική γνώση για τη διδασκαλία και η ανάπτυξή της</w:t>
      </w:r>
    </w:p>
    <w:p w14:paraId="5526C492" w14:textId="77777777" w:rsidR="00AE271D" w:rsidRDefault="00000000">
      <w:pPr>
        <w:spacing w:line="240" w:lineRule="exact"/>
        <w:jc w:val="both"/>
      </w:pPr>
      <w:r>
        <w:rPr>
          <w:rFonts w:cs="Garamond"/>
          <w:b/>
          <w:bCs/>
          <w:sz w:val="18"/>
          <w:szCs w:val="18"/>
          <w:lang w:val="el-GR"/>
        </w:rPr>
        <w:t>ΘΑ6:</w:t>
      </w:r>
      <w:r>
        <w:rPr>
          <w:rFonts w:cs="Garamond"/>
          <w:sz w:val="18"/>
          <w:szCs w:val="18"/>
          <w:lang w:val="el-GR"/>
        </w:rPr>
        <w:t xml:space="preserve"> Διδακτικές πρακτικές και ανάπτυξη εκπαιδευτικού υλικού για τα μαθηματικά</w:t>
      </w:r>
    </w:p>
    <w:p w14:paraId="4B4FFF10" w14:textId="77777777" w:rsidR="00AE271D" w:rsidRDefault="00000000">
      <w:pPr>
        <w:spacing w:line="240" w:lineRule="exact"/>
        <w:jc w:val="both"/>
      </w:pPr>
      <w:r>
        <w:rPr>
          <w:rStyle w:val="Hyperlink"/>
          <w:rFonts w:cs="Garamond"/>
          <w:b/>
          <w:bCs/>
          <w:color w:val="000000"/>
          <w:sz w:val="18"/>
          <w:szCs w:val="18"/>
          <w:u w:val="none"/>
          <w:lang w:val="el-GR"/>
        </w:rPr>
        <w:t>ΘΑ7</w:t>
      </w:r>
      <w:r>
        <w:rPr>
          <w:rStyle w:val="Hyperlink"/>
          <w:rFonts w:cs="Garamond"/>
          <w:color w:val="000000"/>
          <w:sz w:val="18"/>
          <w:szCs w:val="18"/>
          <w:u w:val="none"/>
          <w:lang w:val="el-GR"/>
        </w:rPr>
        <w:t>: Εμπειρικές και θεωρητικές μελέτες στο πεδίο της Μαθηματικής Εκπαίδευσης που δεν κατατάσσονται στους θεματικούς άξονες 1-6</w:t>
      </w:r>
    </w:p>
    <w:p w14:paraId="4311C0A1" w14:textId="77777777" w:rsidR="003D2674" w:rsidRPr="003D2674" w:rsidRDefault="003D2674">
      <w:pPr>
        <w:rPr>
          <w:lang w:val="el-GR"/>
        </w:rPr>
      </w:pPr>
    </w:p>
    <w:sectPr w:rsidR="003D2674" w:rsidRPr="003D2674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1D"/>
    <w:rsid w:val="003D2674"/>
    <w:rsid w:val="005D6BE9"/>
    <w:rsid w:val="00AB31D6"/>
    <w:rsid w:val="00A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E598D"/>
  <w15:docId w15:val="{22153385-D759-254F-BE1F-D4997C49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7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6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6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62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62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62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62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62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62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462E7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462E7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6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462E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2E7B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6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F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96F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C64"/>
    <w:rPr>
      <w:color w:val="96607D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62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E7B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E7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E7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DC718A"/>
    <w:pPr>
      <w:spacing w:beforeAutospacing="1" w:afterAutospacing="1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edim11.math.uoc.gr/%ce%b8%ce%ad%ce%bc%ce%b1-%cf%83%cf%85%ce%bd%ce%b5%ce%b4%cf%81%ce%af%ce%bf%cf%8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ΜΑΛΗ</dc:creator>
  <dc:description/>
  <cp:lastModifiedBy>ΑΓΓΕΛΙΚΗ ΜΑΛΗ</cp:lastModifiedBy>
  <cp:revision>122</cp:revision>
  <cp:lastPrinted>2025-07-03T19:11:00Z</cp:lastPrinted>
  <dcterms:created xsi:type="dcterms:W3CDTF">2025-05-15T19:09:00Z</dcterms:created>
  <dcterms:modified xsi:type="dcterms:W3CDTF">2025-11-05T10:36:00Z</dcterms:modified>
  <dc:language>en-GB</dc:language>
</cp:coreProperties>
</file>